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仿宋_GB2312" w:eastAsia="仿宋_GB2312"/>
          <w:sz w:val="32"/>
        </w:rPr>
      </w:pPr>
    </w:p>
    <w:p>
      <w:pPr>
        <w:snapToGrid w:val="0"/>
        <w:spacing w:line="560" w:lineRule="exact"/>
        <w:jc w:val="center"/>
        <w:rPr>
          <w:rFonts w:hint="eastAsia" w:ascii="仿宋_GB2312" w:eastAsia="仿宋_GB2312"/>
          <w:sz w:val="32"/>
        </w:rPr>
      </w:pPr>
    </w:p>
    <w:p>
      <w:pPr>
        <w:snapToGrid w:val="0"/>
        <w:spacing w:line="560" w:lineRule="exact"/>
        <w:jc w:val="center"/>
        <w:rPr>
          <w:rFonts w:hint="eastAsia" w:ascii="仿宋_GB2312" w:eastAsia="仿宋_GB2312"/>
          <w:sz w:val="32"/>
        </w:rPr>
      </w:pPr>
    </w:p>
    <w:p>
      <w:pPr>
        <w:snapToGrid w:val="0"/>
        <w:spacing w:line="560" w:lineRule="exact"/>
        <w:jc w:val="center"/>
        <w:rPr>
          <w:rFonts w:hint="eastAsia" w:ascii="仿宋_GB2312" w:eastAsia="仿宋_GB2312"/>
          <w:sz w:val="32"/>
        </w:rPr>
      </w:pPr>
    </w:p>
    <w:p>
      <w:pPr>
        <w:snapToGrid w:val="0"/>
        <w:spacing w:line="560" w:lineRule="exact"/>
        <w:jc w:val="center"/>
        <w:rPr>
          <w:rFonts w:hint="eastAsia" w:ascii="仿宋_GB2312" w:eastAsia="仿宋_GB2312"/>
          <w:sz w:val="32"/>
        </w:rPr>
      </w:pPr>
    </w:p>
    <w:p>
      <w:pPr>
        <w:snapToGrid w:val="0"/>
        <w:spacing w:line="560" w:lineRule="exact"/>
        <w:jc w:val="center"/>
        <w:rPr>
          <w:rFonts w:hint="eastAsia" w:ascii="仿宋_GB2312" w:eastAsia="仿宋_GB2312"/>
          <w:sz w:val="32"/>
        </w:rPr>
      </w:pPr>
    </w:p>
    <w:p>
      <w:pPr>
        <w:snapToGrid w:val="0"/>
        <w:spacing w:line="560" w:lineRule="exact"/>
        <w:jc w:val="center"/>
        <w:rPr>
          <w:rFonts w:hint="eastAsia" w:ascii="仿宋_GB2312" w:eastAsia="仿宋_GB2312"/>
          <w:sz w:val="32"/>
        </w:rPr>
      </w:pPr>
    </w:p>
    <w:p>
      <w:pPr>
        <w:snapToGrid w:val="0"/>
        <w:spacing w:line="560" w:lineRule="exact"/>
        <w:jc w:val="center"/>
        <w:rPr>
          <w:rFonts w:hint="eastAsia" w:ascii="仿宋_GB2312" w:eastAsia="仿宋_GB2312"/>
          <w:sz w:val="32"/>
        </w:rPr>
      </w:pPr>
    </w:p>
    <w:p>
      <w:pPr>
        <w:snapToGrid w:val="0"/>
        <w:spacing w:line="560" w:lineRule="exact"/>
        <w:jc w:val="center"/>
        <w:rPr>
          <w:rFonts w:hint="eastAsia" w:ascii="仿宋_GB2312" w:eastAsia="仿宋_GB2312"/>
          <w:sz w:val="32"/>
        </w:rPr>
      </w:pPr>
    </w:p>
    <w:p>
      <w:pPr>
        <w:pageBreakBefore w:val="0"/>
        <w:widowControl w:val="0"/>
        <w:kinsoku/>
        <w:wordWrap/>
        <w:overflowPunct/>
        <w:topLinePunct w:val="0"/>
        <w:autoSpaceDE/>
        <w:autoSpaceDN/>
        <w:bidi w:val="0"/>
        <w:adjustRightInd/>
        <w:snapToGrid w:val="0"/>
        <w:spacing w:line="560" w:lineRule="exact"/>
        <w:jc w:val="center"/>
        <w:textAlignment w:val="auto"/>
        <w:rPr>
          <w:rFonts w:ascii="仿宋_GB2312" w:hAnsi="仿宋_GB2312" w:eastAsia="仿宋_GB2312"/>
          <w:sz w:val="32"/>
        </w:rPr>
      </w:pPr>
      <w:r>
        <w:rPr>
          <w:rFonts w:hint="eastAsia" w:ascii="仿宋_GB2312" w:hAnsi="仿宋_GB2312" w:eastAsia="仿宋_GB2312"/>
          <w:sz w:val="32"/>
        </w:rPr>
        <w:t>和政办发〔20</w:t>
      </w:r>
      <w:r>
        <w:rPr>
          <w:rFonts w:hint="eastAsia" w:ascii="仿宋_GB2312" w:hAnsi="仿宋_GB2312" w:eastAsia="仿宋_GB2312"/>
          <w:sz w:val="32"/>
          <w:lang w:val="en-US" w:eastAsia="zh-CN"/>
        </w:rPr>
        <w:t>21</w:t>
      </w:r>
      <w:r>
        <w:rPr>
          <w:rFonts w:hint="eastAsia" w:ascii="仿宋_GB2312" w:eastAsia="仿宋_GB2312"/>
          <w:sz w:val="32"/>
        </w:rPr>
        <w:t>〕</w:t>
      </w:r>
      <w:r>
        <w:rPr>
          <w:rFonts w:hint="eastAsia" w:ascii="仿宋_GB2312" w:eastAsia="仿宋_GB2312"/>
          <w:sz w:val="32"/>
          <w:lang w:val="en-US" w:eastAsia="zh-CN"/>
        </w:rPr>
        <w:t>67</w:t>
      </w:r>
      <w:r>
        <w:rPr>
          <w:rFonts w:hint="eastAsia" w:ascii="仿宋_GB2312" w:hAnsi="仿宋_GB2312" w:eastAsia="仿宋_GB2312"/>
          <w:sz w:val="32"/>
        </w:rPr>
        <w:t>号</w:t>
      </w:r>
    </w:p>
    <w:p>
      <w:pPr>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eastAsia="方正小标宋简体"/>
          <w:sz w:val="44"/>
          <w:szCs w:val="44"/>
        </w:rPr>
      </w:pPr>
      <w:r>
        <w:rPr>
          <w:rFonts w:hint="eastAsia" w:ascii="方正小标宋简体" w:hAnsi="方正小标宋简体" w:eastAsia="方正小标宋简体" w:cs="方正小标宋简体"/>
          <w:b w:val="0"/>
          <w:bCs w:val="0"/>
          <w:spacing w:val="0"/>
          <w:sz w:val="44"/>
          <w:szCs w:val="44"/>
          <w:lang w:val="en-US" w:eastAsia="zh-CN"/>
        </w:rPr>
        <w:t>关于对和布克赛尔县沙吉海煤业有限责任公司重大事故隐患挂牌督办的</w:t>
      </w:r>
      <w:r>
        <w:rPr>
          <w:rFonts w:hint="eastAsia" w:ascii="方正小标宋简体" w:hAnsi="方正小标宋简体" w:eastAsia="方正小标宋简体" w:cs="方正小标宋简体"/>
          <w:b w:val="0"/>
          <w:bCs w:val="0"/>
          <w:spacing w:val="0"/>
          <w:sz w:val="44"/>
          <w:szCs w:val="44"/>
        </w:rPr>
        <w:t>通知</w:t>
      </w:r>
    </w:p>
    <w:p>
      <w:pPr>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相关单位：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ascii="Times New Roman" w:hAnsi="Times New Roman" w:eastAsia="仿宋_GB2312"/>
          <w:sz w:val="32"/>
          <w:szCs w:val="32"/>
        </w:rPr>
        <w:t>今年以来，各部门</w:t>
      </w:r>
      <w:r>
        <w:rPr>
          <w:rFonts w:hint="eastAsia" w:ascii="Times New Roman" w:hAnsi="Times New Roman" w:eastAsia="仿宋_GB2312"/>
          <w:sz w:val="32"/>
          <w:szCs w:val="32"/>
          <w:lang w:val="en-US" w:eastAsia="zh-CN"/>
        </w:rPr>
        <w:t>单位</w:t>
      </w:r>
      <w:r>
        <w:rPr>
          <w:rFonts w:ascii="Times New Roman" w:hAnsi="Times New Roman" w:eastAsia="仿宋_GB2312"/>
          <w:sz w:val="32"/>
          <w:szCs w:val="32"/>
        </w:rPr>
        <w:t>认真贯彻落实国家、自治区和地区有关安全生产工作部署要求，持续深入开展各类安全生产隐患排查，排查出</w:t>
      </w:r>
      <w:r>
        <w:rPr>
          <w:rFonts w:hint="eastAsia" w:ascii="Times New Roman" w:hAnsi="Times New Roman" w:eastAsia="仿宋_GB2312"/>
          <w:sz w:val="32"/>
          <w:szCs w:val="32"/>
          <w:lang w:val="en-US" w:eastAsia="zh-CN"/>
        </w:rPr>
        <w:t>个别企业存在</w:t>
      </w:r>
      <w:r>
        <w:rPr>
          <w:rFonts w:ascii="Times New Roman" w:hAnsi="Times New Roman" w:eastAsia="仿宋_GB2312"/>
          <w:sz w:val="32"/>
          <w:szCs w:val="32"/>
        </w:rPr>
        <w:t>重大事故隐患。经</w:t>
      </w:r>
      <w:r>
        <w:rPr>
          <w:rFonts w:hint="eastAsia" w:ascii="Times New Roman" w:hAnsi="Times New Roman" w:eastAsia="仿宋_GB2312"/>
          <w:sz w:val="32"/>
          <w:szCs w:val="32"/>
          <w:lang w:val="en-US" w:eastAsia="zh-CN"/>
        </w:rPr>
        <w:t>县人民政府</w:t>
      </w:r>
      <w:r>
        <w:rPr>
          <w:rFonts w:ascii="Times New Roman" w:hAnsi="Times New Roman" w:eastAsia="仿宋_GB2312"/>
          <w:sz w:val="32"/>
          <w:szCs w:val="32"/>
        </w:rPr>
        <w:t>研究，决定对</w:t>
      </w:r>
      <w:r>
        <w:rPr>
          <w:rFonts w:hint="eastAsia" w:ascii="Times New Roman" w:hAnsi="Times New Roman" w:eastAsia="仿宋_GB2312"/>
          <w:sz w:val="32"/>
          <w:szCs w:val="32"/>
        </w:rPr>
        <w:t>和布克赛尔县</w:t>
      </w:r>
      <w:r>
        <w:rPr>
          <w:rFonts w:hint="eastAsia" w:ascii="Times New Roman" w:hAnsi="Times New Roman" w:eastAsia="仿宋_GB2312"/>
          <w:sz w:val="32"/>
          <w:szCs w:val="32"/>
          <w:lang w:val="en-US" w:eastAsia="zh-CN"/>
        </w:rPr>
        <w:t>沙吉海煤业有限责任公司</w:t>
      </w:r>
      <w:r>
        <w:rPr>
          <w:rFonts w:ascii="Times New Roman" w:hAnsi="Times New Roman" w:eastAsia="仿宋_GB2312"/>
          <w:sz w:val="32"/>
          <w:szCs w:val="32"/>
        </w:rPr>
        <w:t>重大事故隐患</w:t>
      </w:r>
      <w:r>
        <w:rPr>
          <w:rFonts w:hint="eastAsia" w:eastAsia="仿宋_GB2312"/>
          <w:sz w:val="32"/>
          <w:szCs w:val="32"/>
          <w:lang w:val="en-US" w:eastAsia="zh-CN"/>
        </w:rPr>
        <w:t>实施</w:t>
      </w:r>
      <w:r>
        <w:rPr>
          <w:rFonts w:ascii="Times New Roman" w:hAnsi="Times New Roman" w:eastAsia="仿宋_GB2312"/>
          <w:sz w:val="32"/>
          <w:szCs w:val="32"/>
        </w:rPr>
        <w:t>挂牌督办。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隐患内容：</w:t>
      </w:r>
      <w:r>
        <w:rPr>
          <w:rFonts w:hint="eastAsia" w:ascii="仿宋_GB2312" w:eastAsia="仿宋_GB2312"/>
          <w:sz w:val="32"/>
          <w:szCs w:val="32"/>
          <w:lang w:val="en-US" w:eastAsia="zh-CN"/>
        </w:rPr>
        <w:t>1B6E01综采工作面回风顺槽与辅运上山之间的正反各两道风门被拆除，采用挂设皮带制作的风帘替代风门，造成风流短路，通风不稳定、不可靠。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整改</w:t>
      </w:r>
      <w:r>
        <w:rPr>
          <w:rFonts w:ascii="Times New Roman" w:hAnsi="Times New Roman" w:eastAsia="仿宋_GB2312"/>
          <w:sz w:val="32"/>
          <w:szCs w:val="32"/>
        </w:rPr>
        <w:t>单位：</w:t>
      </w:r>
      <w:r>
        <w:rPr>
          <w:rFonts w:hint="eastAsia" w:ascii="Times New Roman" w:hAnsi="Times New Roman" w:eastAsia="仿宋_GB2312"/>
          <w:sz w:val="32"/>
          <w:szCs w:val="32"/>
          <w:lang w:val="en-US" w:eastAsia="zh-CN"/>
        </w:rPr>
        <w:t>和布克赛尔县沙吉海煤业有限责任公司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整改要求：</w:t>
      </w:r>
      <w:r>
        <w:rPr>
          <w:rFonts w:hint="eastAsia" w:eastAsia="仿宋_GB2312"/>
          <w:sz w:val="32"/>
          <w:szCs w:val="32"/>
          <w:lang w:val="en-US" w:eastAsia="zh-CN"/>
        </w:rPr>
        <w:t>砌筑新的风门墙体，将原有电缆穿过墙体，电缆必须套管，施工完成后用黄泥堵漏，防止漏风，并悬挂风门说明管理牌板</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ascii="Times New Roman" w:hAnsi="Times New Roman" w:eastAsia="仿宋_GB2312"/>
          <w:sz w:val="32"/>
          <w:szCs w:val="32"/>
        </w:rPr>
        <w:t>整改期限：</w:t>
      </w:r>
      <w:r>
        <w:rPr>
          <w:rFonts w:hint="eastAsia" w:ascii="仿宋_GB2312" w:eastAsia="仿宋_GB2312"/>
          <w:sz w:val="32"/>
          <w:szCs w:val="32"/>
          <w:lang w:val="en-US" w:eastAsia="zh-CN"/>
        </w:rPr>
        <w:t>2021年9月1日前。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val="en-US" w:eastAsia="zh-CN"/>
        </w:rPr>
      </w:pPr>
      <w:r>
        <w:rPr>
          <w:rFonts w:ascii="Times New Roman" w:hAnsi="Times New Roman" w:eastAsia="仿宋_GB2312"/>
          <w:sz w:val="32"/>
          <w:szCs w:val="32"/>
        </w:rPr>
        <w:t>各相关部门</w:t>
      </w:r>
      <w:r>
        <w:rPr>
          <w:rFonts w:hint="eastAsia" w:ascii="Times New Roman" w:hAnsi="Times New Roman" w:eastAsia="仿宋_GB2312"/>
          <w:sz w:val="32"/>
          <w:szCs w:val="32"/>
          <w:lang w:val="en-US" w:eastAsia="zh-CN"/>
        </w:rPr>
        <w:t>单位</w:t>
      </w:r>
      <w:r>
        <w:rPr>
          <w:rFonts w:ascii="Times New Roman" w:hAnsi="Times New Roman" w:eastAsia="仿宋_GB2312"/>
          <w:sz w:val="32"/>
          <w:szCs w:val="32"/>
        </w:rPr>
        <w:t>要坚决贯彻落实安全发展理念，切实加强对重大隐患整改治理工作的领导，定期督促检查隐患整改治理工作进度，对整改不力的依法追究相关人员责任。要督促挂牌企业单位牢固树立以人民为中心的发展思想，制定切实可行的隐患整改治理实施方案，在确保安全的前提下按期完成整改。各相关部门</w:t>
      </w:r>
      <w:r>
        <w:rPr>
          <w:rFonts w:hint="eastAsia" w:ascii="Times New Roman" w:hAnsi="Times New Roman" w:eastAsia="仿宋_GB2312"/>
          <w:sz w:val="32"/>
          <w:szCs w:val="32"/>
          <w:lang w:val="en-US" w:eastAsia="zh-CN"/>
        </w:rPr>
        <w:t>单位</w:t>
      </w:r>
      <w:r>
        <w:rPr>
          <w:rFonts w:ascii="Times New Roman" w:hAnsi="Times New Roman" w:eastAsia="仿宋_GB2312"/>
          <w:sz w:val="32"/>
          <w:szCs w:val="32"/>
        </w:rPr>
        <w:t>要及时将整改治理情况报</w:t>
      </w:r>
      <w:r>
        <w:rPr>
          <w:rFonts w:hint="eastAsia" w:ascii="Times New Roman" w:hAnsi="Times New Roman" w:eastAsia="仿宋_GB2312"/>
          <w:sz w:val="32"/>
          <w:szCs w:val="32"/>
          <w:lang w:val="en-US" w:eastAsia="zh-CN"/>
        </w:rPr>
        <w:t>县</w:t>
      </w:r>
      <w:r>
        <w:rPr>
          <w:rFonts w:ascii="Times New Roman" w:hAnsi="Times New Roman" w:eastAsia="仿宋_GB2312"/>
          <w:sz w:val="32"/>
          <w:szCs w:val="32"/>
        </w:rPr>
        <w:t>安委会办公室。联系人：</w:t>
      </w:r>
      <w:r>
        <w:rPr>
          <w:rFonts w:hint="eastAsia" w:ascii="Times New Roman" w:hAnsi="Times New Roman" w:eastAsia="仿宋_GB2312"/>
          <w:sz w:val="32"/>
          <w:szCs w:val="32"/>
          <w:lang w:val="en-US" w:eastAsia="zh-CN"/>
        </w:rPr>
        <w:t>王军</w:t>
      </w:r>
      <w:r>
        <w:rPr>
          <w:rFonts w:ascii="Times New Roman" w:hAnsi="Times New Roman" w:eastAsia="仿宋_GB2312"/>
          <w:sz w:val="32"/>
          <w:szCs w:val="32"/>
        </w:rPr>
        <w:t>；联系方式：</w:t>
      </w:r>
      <w:r>
        <w:rPr>
          <w:rFonts w:hint="eastAsia" w:ascii="Times New Roman" w:hAnsi="Times New Roman" w:eastAsia="仿宋_GB2312"/>
          <w:sz w:val="32"/>
          <w:szCs w:val="32"/>
          <w:lang w:val="en-US" w:eastAsia="zh-CN"/>
        </w:rPr>
        <w:t>18099705882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textAlignment w:val="auto"/>
        <w:rPr>
          <w:rFonts w:hint="eastAsia" w:ascii="方正小标宋简体" w:hAnsi="Times New Roman" w:eastAsia="仿宋_GB2312" w:cs="Times New Roman"/>
          <w:kern w:val="2"/>
          <w:sz w:val="44"/>
          <w:szCs w:val="44"/>
          <w:lang w:val="en-US" w:eastAsia="zh-CN" w:bidi="ar-SA"/>
        </w:rPr>
      </w:pPr>
    </w:p>
    <w:p>
      <w:pPr>
        <w:pStyle w:val="6"/>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Autospacing="0" w:after="0" w:afterAutospacing="0" w:line="560" w:lineRule="exact"/>
        <w:textAlignment w:val="auto"/>
        <w:rPr>
          <w:rFonts w:hint="eastAsia" w:ascii="Times New Roman" w:hAnsi="Times New Roman" w:eastAsia="仿宋_GB2312"/>
          <w:sz w:val="32"/>
          <w:szCs w:val="32"/>
          <w:lang w:val="en-US" w:eastAsia="zh-CN"/>
        </w:rPr>
      </w:pPr>
    </w:p>
    <w:p>
      <w:pPr>
        <w:pStyle w:val="6"/>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Autospacing="0" w:after="0" w:afterAutospacing="0" w:line="560" w:lineRule="exact"/>
        <w:textAlignment w:val="auto"/>
        <w:rPr>
          <w:rFonts w:hint="eastAsia" w:ascii="Times New Roman" w:hAnsi="Times New Roman" w:eastAsia="仿宋_GB2312"/>
          <w:sz w:val="32"/>
          <w:szCs w:val="32"/>
          <w:lang w:val="en-US" w:eastAsia="zh-CN"/>
        </w:rPr>
      </w:pPr>
    </w:p>
    <w:p>
      <w:pPr>
        <w:pStyle w:val="6"/>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Autospacing="0" w:after="0" w:afterAutospacing="0" w:line="560" w:lineRule="exact"/>
        <w:textAlignment w:val="auto"/>
        <w:rPr>
          <w:rFonts w:hint="eastAsia" w:ascii="Times New Roman" w:hAnsi="Times New Roman" w:eastAsia="仿宋_GB2312"/>
          <w:sz w:val="32"/>
          <w:szCs w:val="32"/>
          <w:lang w:val="en-US" w:eastAsia="zh-CN"/>
        </w:rPr>
      </w:pPr>
    </w:p>
    <w:p>
      <w:pPr>
        <w:pStyle w:val="6"/>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Autospacing="0" w:after="0" w:afterAutospacing="0" w:line="560" w:lineRule="exact"/>
        <w:textAlignment w:val="auto"/>
        <w:rPr>
          <w:rFonts w:hint="eastAsia" w:ascii="Times New Roman" w:hAnsi="Times New Roman" w:eastAsia="仿宋_GB2312"/>
          <w:sz w:val="32"/>
          <w:szCs w:val="32"/>
          <w:lang w:val="en-US" w:eastAsia="zh-CN"/>
        </w:rPr>
      </w:pPr>
    </w:p>
    <w:p>
      <w:pPr>
        <w:pStyle w:val="6"/>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Autospacing="0" w:after="0" w:afterAutospacing="0" w:line="560" w:lineRule="exact"/>
        <w:textAlignment w:val="auto"/>
        <w:rPr>
          <w:rFonts w:hint="eastAsia" w:ascii="Times New Roman" w:hAnsi="Times New Roman" w:eastAsia="仿宋_GB2312"/>
          <w:sz w:val="32"/>
          <w:szCs w:val="32"/>
          <w:lang w:val="en-US" w:eastAsia="zh-CN"/>
        </w:rPr>
      </w:pPr>
    </w:p>
    <w:p>
      <w:pPr>
        <w:pStyle w:val="6"/>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Autospacing="0" w:after="0" w:afterAutospacing="0" w:line="680" w:lineRule="exact"/>
        <w:textAlignment w:val="auto"/>
        <w:rPr>
          <w:rFonts w:hint="eastAsia" w:ascii="Times New Roman" w:hAnsi="Times New Roman" w:eastAsia="仿宋_GB2312"/>
          <w:sz w:val="32"/>
          <w:szCs w:val="32"/>
          <w:lang w:val="en-US" w:eastAsia="zh-CN"/>
        </w:rPr>
      </w:pPr>
      <w:bookmarkStart w:id="0" w:name="_GoBack"/>
      <w:bookmarkEnd w:id="0"/>
    </w:p>
    <w:p>
      <w:pPr>
        <w:pStyle w:val="6"/>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val="0"/>
        <w:spacing w:before="0" w:beforeAutospacing="0" w:after="0" w:afterAutospacing="0" w:line="440" w:lineRule="exact"/>
        <w:ind w:firstLine="280" w:firstLineChars="10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sz w:val="28"/>
          <w:szCs w:val="28"/>
          <w:lang w:val="en-US" w:eastAsia="zh-CN"/>
        </w:rPr>
        <w:t>和布克赛尔县人民政府办公室           2021年8月28日印发</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35526"/>
    <w:rsid w:val="0122050F"/>
    <w:rsid w:val="01535526"/>
    <w:rsid w:val="01D26A97"/>
    <w:rsid w:val="01E865C1"/>
    <w:rsid w:val="038D4907"/>
    <w:rsid w:val="0A135B2E"/>
    <w:rsid w:val="0BAB2B63"/>
    <w:rsid w:val="0F0E2637"/>
    <w:rsid w:val="107E6B88"/>
    <w:rsid w:val="10A11C02"/>
    <w:rsid w:val="124F5A6F"/>
    <w:rsid w:val="14491E6A"/>
    <w:rsid w:val="168718E1"/>
    <w:rsid w:val="17C344C3"/>
    <w:rsid w:val="21C92166"/>
    <w:rsid w:val="22320581"/>
    <w:rsid w:val="225E79C6"/>
    <w:rsid w:val="2302665A"/>
    <w:rsid w:val="298D3628"/>
    <w:rsid w:val="2C7E59F8"/>
    <w:rsid w:val="2D004FB1"/>
    <w:rsid w:val="30BB4EDB"/>
    <w:rsid w:val="34611E09"/>
    <w:rsid w:val="357A60B5"/>
    <w:rsid w:val="35A93F07"/>
    <w:rsid w:val="37B8557C"/>
    <w:rsid w:val="39BB054F"/>
    <w:rsid w:val="3BB0247A"/>
    <w:rsid w:val="44AE419A"/>
    <w:rsid w:val="451D4FCF"/>
    <w:rsid w:val="48CD1E26"/>
    <w:rsid w:val="4CA155C4"/>
    <w:rsid w:val="4FC5451D"/>
    <w:rsid w:val="504929AA"/>
    <w:rsid w:val="51057CF3"/>
    <w:rsid w:val="51CF7A4E"/>
    <w:rsid w:val="54364103"/>
    <w:rsid w:val="58185249"/>
    <w:rsid w:val="59F324BC"/>
    <w:rsid w:val="5BC238D4"/>
    <w:rsid w:val="5D3031C4"/>
    <w:rsid w:val="60103EC5"/>
    <w:rsid w:val="62D33221"/>
    <w:rsid w:val="671933B5"/>
    <w:rsid w:val="6B023297"/>
    <w:rsid w:val="6EAD3FC0"/>
    <w:rsid w:val="716115AD"/>
    <w:rsid w:val="71E2796D"/>
    <w:rsid w:val="7276342F"/>
    <w:rsid w:val="7681516A"/>
    <w:rsid w:val="776D74C8"/>
    <w:rsid w:val="780528BA"/>
    <w:rsid w:val="79C969C3"/>
    <w:rsid w:val="7A5D2D3A"/>
    <w:rsid w:val="7E6D2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jc w:val="left"/>
    </w:pPr>
    <w:rPr>
      <w:sz w:val="18"/>
      <w:szCs w:val="18"/>
    </w:rPr>
  </w:style>
  <w:style w:type="paragraph" w:styleId="4">
    <w:name w:val="header"/>
    <w:basedOn w:val="1"/>
    <w:qFormat/>
    <w:uiPriority w:val="0"/>
    <w:pPr>
      <w:pBdr>
        <w:bottom w:val="single" w:color="auto" w:sz="6" w:space="1"/>
      </w:pBdr>
      <w:tabs>
        <w:tab w:val="center" w:pos="4153"/>
        <w:tab w:val="right" w:pos="8306"/>
      </w:tabs>
      <w:jc w:val="center"/>
    </w:pPr>
    <w:rPr>
      <w:sz w:val="18"/>
      <w:szCs w:val="18"/>
    </w:rPr>
  </w:style>
  <w:style w:type="paragraph" w:styleId="5">
    <w:name w:val="footnote text"/>
    <w:basedOn w:val="1"/>
    <w:semiHidden/>
    <w:qFormat/>
    <w:uiPriority w:val="0"/>
    <w:pPr>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2020-09-25T08:16:00Z</dcterms:created>
  <dc:creator>lenovo</dc:creator>
  <cp:lastModifiedBy>县政府办公文管理员</cp:lastModifiedBy>
  <cp:lastPrinted>2021-02-25T03:29:00Z</cp:lastPrinted>
  <dcterms:modified xsi:type="dcterms:W3CDTF">2021-09-03T13:25:37Z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B793674D614743FC982A94CA3EB8201F</vt:lpwstr>
  </property>
</Properties>
</file>